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предоставления и распределения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 году субсидий из областного бюджета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и областного бюджетов бюджетам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образований 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техническое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оснащение муниципальных музеев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0" w:tooltip="consultantplus://offline/ref=EB195CFF28EE039C175F8773C67485F8BC71412C885A9FB8ACF0A685B57CC28D16E937A277D460EC969C15446825B93AF73DEC2C9D41l2pA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139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1" w:tooltip="consultantplus://offline/ref=EB195CFF28EE039C175F8773C67485F8BC72422A875E9FB8ACF0A685B57CC28D16E937A472D562EEC99900553029B12DE93CF3309F432Bl9pD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техническое 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ащение муниципальных музеев, приведенными в приложении № 26 к государственной программе Российской Федерации «Развитие культуры», утвержденной Постановлением Правительства Российской Федерации от 15.04.2014 № 317,</w:t>
      </w:r>
      <w:hyperlink r:id="rId12" w:tooltip="consultantplus://offline/ref=EB195CFF28EE039C175F997ED018DFF7BE7A1D23885896E7F0AFFDD8E275C8DA51A66EE434D867E7C2CD52116E70E160A231F327834328807AAD74l1pB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2020 - 2025 годы»,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правительство Еврейской автономной области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1. У</w:t>
      </w:r>
      <w:r>
        <w:rPr>
          <w:rFonts w:ascii="Times New Roman" w:hAnsi="Times New Roman"/>
          <w:sz w:val="28"/>
          <w:szCs w:val="28"/>
          <w:lang w:eastAsia="ru-RU"/>
        </w:rPr>
        <w:t xml:space="preserve">твердить порядок предоставления и распределения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 году субсидий из областного бюджета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и областного бюджетов бюджетам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образований 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техническое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оснащение муниципальных музеев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Губернатор области                                                                       Р.Э.Гольдштейн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84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и распределения в 2023 году субсидий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 областного бюджета за счет средств федерального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областного бюджетов бюджетам муниципальных образований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на техническое оснащение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музеев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и распределения в 2023 году субсидий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за счет средств федерального и областного бюджетов бюджетам муниципальных образований Еврейской автономной области на техническое оснащение муниципальных музеев (далее - Порядок) устанавливает условия, це</w:t>
      </w:r>
      <w:r>
        <w:rPr>
          <w:rFonts w:ascii="Times New Roman" w:hAnsi="Times New Roman" w:cs="Times New Roman"/>
          <w:sz w:val="28"/>
          <w:szCs w:val="28"/>
        </w:rPr>
        <w:t xml:space="preserve">ли и механизм предоставления и распределения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техническое оснащение муниципальных музеев (далее - субсидия).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left="0" w:right="0" w:firstLine="709"/>
        <w:jc w:val="left"/>
        <w:spacing w:before="0" w:before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Субсидия носит целевой характер и не может быть использована на цели, не предусмотренные настоящим Порядком.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3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в соответствии с государственной </w:t>
      </w:r>
      <w:hyperlink r:id="rId13" w:tooltip="consultantplus://offline/ref=EB195CFF28EE039C175F997ED018DFF7BE7A1D23885896E7F0AFFDD8E275C8DA51A66EE434D867E7C2CD52116E70E160A231F327834328807AAD74l1pB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«Культура Еврейской автономной области» на 2020 - 2025 годы, утвержденной постановлением правительства Еврейской автономной области от 31.10.2019 № 389-пп,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муниципального образования Еврейской автономной области (далее - область), связанных с финансовым обеспечением реализаций мероприятий на техническое оснащение муниципальных музеев по следующим направлениям: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оборудования и технических средств, необходимых для обеспечения открытого хранения музейных предметов (включая доставку, монтаж, установку, погрузочно-разгрузочные работы, а также пусконаладочные работы);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 (включая доставку, монтаж, установку, погрузочно-разгрузочные работы, а также пусконаладочные работы);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технические средства должны обеспечивать долговременную сохранность (как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обеспечивать долговременную сохранность (как в фондохранилищах, так и в экспозициях) музейных предметов, исключать возможность их хищения, разрушения и повреждения, а также создавать благоприятные условия для их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едставления и изучения (включая доставку, монтаж, установку и пусконаладочные работы)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экспозиционно-выставочное, фондовое и климатическое оборудование должно обеспечивать режимы хранения музейных предметов в соответствии с порядком организации комплектования, учета, хранения и использования музейных предметов и музейных коллекций,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Министерством культуры Российской Федерации (включая доставку, монтаж, установку, погрузочно-разгрузочные работы, а также пусконаладочные работы)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(с использованием веб-соединения и без него). Автоматизированные системы и программные платформы, 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пользуемые для их разработки, должны отвечать требованиям государственной программы импортозамещения и являться продуктами российского производителя (включая доставку, монтаж, установку, погрузочно-разгрузочные работы, а также пусконаладочные работы).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Критериями отбора муниципального образования области для предоставления субсидии являются:</w:t>
      </w:r>
      <w:r/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а) наличие заявки о предоставлении субсидии по форме, утвержденной Департаментом;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наличие регистрации в реестре музеев, иных организаций, физических лиц, в собственности, во владении или пользовании которых находятся музейные предметы и музейные коллекции, включенные в состав Музейного фонда Российской Федерации, регионального (муниципал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ьного) музея, техническое оснащение которого планируется за счет субсидии.</w:t>
      </w:r>
      <w:r/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муниципальных образований обла</w:t>
      </w:r>
      <w:r>
        <w:rPr>
          <w:rFonts w:ascii="Times New Roman" w:hAnsi="Times New Roman" w:cs="Times New Roman"/>
          <w:sz w:val="28"/>
          <w:szCs w:val="28"/>
        </w:rPr>
        <w:t xml:space="preserve">сти в пределах лимитов бюджетных обязательств, доведенных в установленном порядке до департамента культуры правительства области (далее - Департамент) как главного распорядителя средств областного бюджета, на цели, предусмотренные </w:t>
      </w:r>
      <w:hyperlink w:tooltip="#P42" w:anchor="P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являются:</w:t>
      </w:r>
      <w:r/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а) наличие правового акта муниципального образования области, утверждающего перечень мероприятий,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 области,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заключение соглашения о предоставлении субсидии в соответствии с </w:t>
      </w:r>
      <w:hyperlink w:tooltip="#P56" w:anchor="P5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/>
      <w:r/>
      <w:r>
        <w:rPr>
          <w:rFonts w:ascii="Times New Roman" w:hAnsi="Times New Roman" w:cs="Times New Roman"/>
          <w:sz w:val="28"/>
          <w:szCs w:val="28"/>
        </w:rPr>
      </w:r>
      <w:r>
        <w:t xml:space="preserve">.</w:t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на основании Соглашения о предоставлении субсидии, заключенного между Департаментом культуры правительства области (далее - Департамент) и муниципальным обр</w:t>
      </w:r>
      <w:r>
        <w:rPr>
          <w:rFonts w:ascii="Times New Roman" w:hAnsi="Times New Roman" w:cs="Times New Roman"/>
          <w:sz w:val="28"/>
          <w:szCs w:val="28"/>
        </w:rPr>
        <w:t xml:space="preserve">азованием области (далее - Соглашение)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области за счет средств федерального и областного бюджетов определяется в размере 90 процентов.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из областного бюджета за счет средств федерального и областного бюджетов на предоставление субсидии местному бюджету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 в целях распределения субсидий между муниципальными образованиями области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43"/>
        <w:jc w:val="both"/>
      </w:pPr>
      <w:r/>
      <w:r/>
      <w:r/>
    </w:p>
    <w:p>
      <w:pPr>
        <w:pStyle w:val="843"/>
        <w:jc w:val="both"/>
        <w:tabs>
          <w:tab w:val="left" w:pos="2141" w:leader="none"/>
        </w:tabs>
        <w:rPr>
          <w:vertAlign w:val="subscript"/>
        </w:rPr>
      </w:pPr>
      <w:r>
        <w:rPr>
          <w:vertAlign w:val="subscript"/>
        </w:rPr>
      </w:r>
      <w:r>
        <w:rPr>
          <w:position w:val="-31"/>
        </w:rPr>
      </w:r>
      <w:r>
        <w:rPr>
          <w:position w:val="-31"/>
        </w:rPr>
      </w:r>
      <w:r/>
      <w:r>
        <w:rPr>
          <w:vertAlign w:val="subscript"/>
        </w:rPr>
      </w:r>
    </w:p>
    <w:p>
      <w:pPr>
        <w:pStyle w:val="843"/>
        <w:ind w:firstLine="540"/>
        <w:jc w:val="both"/>
        <w:rPr>
          <w:rFonts w:ascii="Times New Roman" w:hAnsi="Times New Roman" w:cs="Times New Roman"/>
          <w:color w:val="444444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Arial" w:hAnsi="Arial" w:eastAsia="Arial" w:cs="Arial"/>
          <w:color w:val="444444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116" cy="3905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7646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005116" cy="390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9.1pt;height:30.8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eastAsia="Arial" w:cs="Arial"/>
          <w:color w:val="444444"/>
          <w:sz w:val="24"/>
          <w:highlight w:val="white"/>
        </w:rPr>
        <w:t xml:space="preserve"> </w:t>
      </w:r>
      <w:r>
        <w:rPr>
          <w:rFonts w:ascii="Arial" w:hAnsi="Arial" w:eastAsia="Arial" w:cs="Arial"/>
          <w:color w:val="444444"/>
          <w:sz w:val="24"/>
          <w:highlight w:val="white"/>
        </w:rPr>
        <w:t xml:space="preserve">,</w:t>
      </w:r>
      <w:r>
        <w:rPr>
          <w:rFonts w:ascii="Arial" w:hAnsi="Arial" w:eastAsia="Arial" w:cs="Arial"/>
          <w:color w:val="444444"/>
          <w:sz w:val="24"/>
          <w:highlight w:val="whit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color w:val="444444"/>
          <w:sz w:val="28"/>
          <w:szCs w:val="28"/>
          <w:highlight w:val="none"/>
        </w:rPr>
      </w:r>
    </w:p>
    <w:p>
      <w:pPr>
        <w:pStyle w:val="843"/>
        <w:ind w:firstLine="540"/>
        <w:jc w:val="both"/>
        <w:rPr>
          <w:highlight w:val="none"/>
        </w:rPr>
      </w:pPr>
      <w:r>
        <w:rPr>
          <w:rFonts w:ascii="Arial" w:hAnsi="Arial" w:eastAsia="Arial" w:cs="Arial"/>
          <w:color w:val="444444"/>
          <w:sz w:val="24"/>
          <w:highlight w:val="none"/>
        </w:rPr>
      </w:r>
      <w:r>
        <w:rPr>
          <w:rFonts w:ascii="Arial" w:hAnsi="Arial" w:eastAsia="Arial" w:cs="Arial"/>
          <w:color w:val="444444"/>
          <w:sz w:val="24"/>
          <w:highlight w:val="none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выравнивания потребности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общая сумма коэффициентов выравнивания потребности муниципальных образований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- общая сумма бюджетных ассигнований из областного бюджета за счет средств федерального и областного бюджетов на предоставление субсидии в соответствующем финансовом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муниципальным образованиям области утверждается законом области об областном бюджете на очередной финансовый год и плановый период.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на счета территориального органа Федерального казначейства, открытые для </w:t>
      </w:r>
      <w:r>
        <w:rPr>
          <w:rFonts w:ascii="Times New Roman" w:hAnsi="Times New Roman" w:cs="Times New Roman"/>
          <w:sz w:val="28"/>
          <w:szCs w:val="28"/>
        </w:rPr>
        <w:t xml:space="preserve">учета поступлений и их распределения между областным и местными бюджетами, для перечисления их в установленном порядке в местные бюджеты в пределах бюджетных ассигнований и лимитов бюджетных обязательств, утвержденных бюджетной росписью областного бюджета.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Коэффициент выравнивания потребности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(</w:t>
      </w:r>
      <w:r>
        <w:rPr>
          <w:rFonts w:ascii="Times New Roman" w:hAnsi="Times New Roman" w:cs="Times New Roman"/>
          <w:sz w:val="28"/>
          <w:szCs w:val="28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по формуле:</w:t>
      </w:r>
      <w:r/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position w:val="-22"/>
          <w:sz w:val="28"/>
          <w:szCs w:val="28"/>
        </w:rPr>
      </w:r>
      <w:r>
        <w:rPr>
          <w:rFonts w:ascii="Arial" w:hAnsi="Arial" w:eastAsia="Arial" w:cs="Arial"/>
          <w:color w:val="444444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3925" cy="52226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0927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923924" cy="522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8pt;height:41.1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заявленная финансовая потребность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на техническое оснащение муниципальных музеев;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P - общая заявленная финансовая потребность муниципальных образований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области из областного бюджета за счет средств федерального и областного бюджетов.</w:t>
      </w:r>
      <w:r/>
      <w:r/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образования области представляют в Департамент следующую отчетность:</w:t>
      </w:r>
      <w:r/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итоговый отчет об исполнении условий предоставления субсидии - не позднее 15 января 2024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отчет о ходе выполнения мероприятий, на реализацию которых предоставлена субсидия, - не позднее 15 января 2024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использования субсидии - в порядке и сроки, предусмотренные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отчетность представляется в Департамент в электронном виде и на бумажных носителях по формам, утвержденным Департаментом.</w:t>
      </w:r>
      <w:r/>
      <w:r/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количество технически оснащенных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музеев на территории муниципального образования области, которое устанавливается Соглашением.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путем сравнения фактически достигнутого значения результата использования субсидии со значением результата использования субсидии, указанным в Соглашении, а также с учетом увеличения количества посетителей муниципальных музеев.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отчета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местного бюджета в областной бюджет (</w:t>
      </w: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) в срок до 1 июля года, следующего за годом предоставления субсидии, рассчитывается по формуле:</w:t>
      </w:r>
      <w:r/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 x k x m / n) x 0,1,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местного бюджета в областной бюджет;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n - общее количество результатов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подлежащего возврату из </w:t>
      </w:r>
      <w:r>
        <w:rPr>
          <w:rFonts w:ascii="Times New Roman" w:hAnsi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 в областной бюджет, в размере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образованиия области</w:t>
      </w:r>
      <w:r>
        <w:rPr>
          <w:rFonts w:ascii="Times New Roman" w:hAnsi="Times New Roman" w:cs="Times New Roman"/>
          <w:sz w:val="28"/>
          <w:szCs w:val="28"/>
        </w:rPr>
        <w:t xml:space="preserve">  в отчетном финансовом году (</w:t>
      </w: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рассчитывается по формуле: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SUM - знак суммирования.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определяется: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= 1 -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б) для результатов использования субсидии, по которым большее значение фактически достигнутого значения отражает меньшую эффективность предоставления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= 1 -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Соглашением.</w:t>
      </w:r>
      <w:r/>
      <w:r/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муниципальными образованиями области условий использования субсидии и (или) невозврата неиспользованных остатков субсидии в областной бюджет к ним применяются бюджетные меры принуждения, предусмотренные бюджетным законодательством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освобождения органов местного самоуправления муниципальных образований области от применения мер ответственности, предусмотренных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  <w:r/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при наличии основания, предусмотренного </w:t>
      </w:r>
      <w:hyperlink w:tooltip="#P122" w:anchor="P1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субсидии,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органом местного самоуправления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области,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органа местного самоуправления муниципального образования области от применения мер ответственности, предусмотренных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не позднее 30-го рабочего дня после первой даты представления отчета о достижении значений результатов использования субсидии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Соглашением в году, следующем за годом предоставления субсидии, направляет в орган местного самоуправления муниципального образования области требование о возврате из местного бюджета в областной бюджет объема средств, рассчитанного в соответствии с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сумм, подлежащих возврату, и сроков их возврата (далее - требование о возврате).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Департамент в случае полного или частичного </w:t>
      </w:r>
      <w:r>
        <w:rPr>
          <w:rFonts w:ascii="Times New Roman" w:hAnsi="Times New Roman" w:cs="Times New Roman"/>
          <w:sz w:val="28"/>
          <w:szCs w:val="28"/>
        </w:rPr>
        <w:t xml:space="preserve">не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о возврате,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истечения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hyperlink w:tooltip="#P122" w:anchor="P1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сроков для возврата в областной бюджет средств из местного бюджета представляет информацию о неисполнении требования о возврате в департамент финансов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правительства области в срок не позднее 10 раб</w:t>
      </w:r>
      <w:r>
        <w:rPr>
          <w:rFonts w:ascii="Times New Roman" w:hAnsi="Times New Roman" w:cs="Times New Roman"/>
          <w:sz w:val="28"/>
          <w:szCs w:val="28"/>
        </w:rPr>
        <w:t xml:space="preserve">очих дней со дня получения указанной информации назначает проверку исполнения органом местного самоуправления муниципального образования области требования о возврате в соответствии с утвержденными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и оформление их результатов», «Реализация результатов проверок, ревизий и обследований».</w:t>
      </w:r>
      <w:r/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Не использованные на 1 января текущего финансового года субсидии подлежат возврату в доход областного бюджета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3"/>
        <w:ind w:firstLine="540"/>
        <w:jc w:val="both"/>
        <w:spacing w:before="0" w:before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субсидии не перечислен в доход областного бюджета, указанные средства подлежат взысканию в доход областного бюджета в порядке, устанавливаемом департаментом финансов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Департамента о наличии потребности бюджетов муниципальных образований области в субсидиях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согласованным с департаментом финансов правительства области, средства в объеме, н</w:t>
      </w:r>
      <w:r>
        <w:rPr>
          <w:rFonts w:ascii="Times New Roman" w:hAnsi="Times New Roman" w:cs="Times New Roman"/>
          <w:sz w:val="28"/>
          <w:szCs w:val="28"/>
        </w:rPr>
        <w:t xml:space="preserve">е превышающем остатка субсидии, могут быть возвращены в текущем финансовом году в доход местного бюджета, которому они были ранее предоставлены, для финансового обеспечения расходов местного бюджета, соответствующих целям предоставления указанной субсидии.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к органу местного самоуправления муниципального образования области применяются бюджетные меры принуждения, предусмотренные бюджетным законодательством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Решение о приостановлении перечисления (сокращении объема) субсидии бюджету муниципальных образований области не принимается в случае, если условия предоставления субсидии были не выполнены в силу обстоятельств непреодолимой силы.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муниципальными образованиями области целей, порядка и условий предоставления субсидий осуществляется Департаментом и органами государственного финансового контроля области в порядке, установленном бюджетным законодательством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headerReference w:type="default" r:id="rId9"/>
      <w:footnotePr>
        <w:numRestart w:val="eachPage"/>
      </w:footnotePr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838"/>
        <w:sz w:val="24"/>
        <w:szCs w:val="24"/>
      </w:rPr>
      <w:framePr w:wrap="auto" w:vAnchor="text" w:hAnchor="margin" w:xAlign="center" w:y="1"/>
    </w:pPr>
    <w:r>
      <w:rPr>
        <w:rStyle w:val="838"/>
        <w:sz w:val="24"/>
        <w:szCs w:val="24"/>
      </w:rPr>
      <w:fldChar w:fldCharType="begin"/>
    </w:r>
    <w:r>
      <w:rPr>
        <w:rStyle w:val="838"/>
        <w:sz w:val="24"/>
        <w:szCs w:val="24"/>
      </w:rPr>
      <w:instrText xml:space="preserve">PAGE  </w:instrText>
    </w:r>
    <w:r>
      <w:rPr>
        <w:rStyle w:val="838"/>
        <w:sz w:val="24"/>
        <w:szCs w:val="24"/>
      </w:rPr>
      <w:fldChar w:fldCharType="separate"/>
    </w:r>
    <w:r>
      <w:rPr>
        <w:rStyle w:val="838"/>
        <w:sz w:val="24"/>
        <w:szCs w:val="24"/>
      </w:rPr>
      <w:t xml:space="preserve">2</w:t>
    </w:r>
    <w:r>
      <w:rPr>
        <w:rStyle w:val="838"/>
        <w:sz w:val="24"/>
        <w:szCs w:val="24"/>
      </w:rPr>
      <w:fldChar w:fldCharType="end"/>
    </w:r>
    <w:r/>
  </w:p>
  <w:p>
    <w:pPr>
      <w:pStyle w:val="836"/>
      <w:jc w:val="center"/>
      <w:rPr>
        <w:sz w:val="24"/>
        <w:szCs w:val="24"/>
      </w:rPr>
    </w:pPr>
    <w:r>
      <w:rPr>
        <w:sz w:val="24"/>
        <w:szCs w:val="24"/>
      </w:rPr>
    </w:r>
    <w:r/>
  </w:p>
  <w:p>
    <w:pPr>
      <w:pStyle w:val="836"/>
      <w:jc w:val="center"/>
      <w:rPr>
        <w:sz w:val="24"/>
        <w:szCs w:val="24"/>
      </w:rPr>
    </w:pP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36"/>
    <w:uiPriority w:val="99"/>
  </w:style>
  <w:style w:type="character" w:styleId="685">
    <w:name w:val="Footer Char"/>
    <w:basedOn w:val="833"/>
    <w:link w:val="839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9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32"/>
    <w:link w:val="83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  <w:szCs w:val="28"/>
      <w:lang w:eastAsia="ru-RU"/>
    </w:rPr>
  </w:style>
  <w:style w:type="character" w:styleId="837" w:customStyle="1">
    <w:name w:val="Верхний колонтитул Знак"/>
    <w:basedOn w:val="833"/>
    <w:link w:val="836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styleId="838">
    <w:name w:val="page number"/>
    <w:basedOn w:val="833"/>
    <w:uiPriority w:val="99"/>
    <w:rPr>
      <w:rFonts w:cs="Times New Roman"/>
    </w:rPr>
  </w:style>
  <w:style w:type="paragraph" w:styleId="839">
    <w:name w:val="Footer"/>
    <w:basedOn w:val="832"/>
    <w:link w:val="84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  <w:szCs w:val="28"/>
      <w:lang w:eastAsia="ru-RU"/>
    </w:rPr>
  </w:style>
  <w:style w:type="character" w:styleId="840" w:customStyle="1">
    <w:name w:val="Нижний колонтитул Знак"/>
    <w:basedOn w:val="833"/>
    <w:link w:val="83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41">
    <w:name w:val="Balloon Text"/>
    <w:basedOn w:val="832"/>
    <w:link w:val="842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3"/>
    <w:link w:val="841"/>
    <w:uiPriority w:val="99"/>
    <w:rPr>
      <w:rFonts w:ascii="Segoe UI" w:hAnsi="Segoe UI" w:cs="Segoe UI"/>
      <w:sz w:val="18"/>
      <w:szCs w:val="18"/>
    </w:r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B195CFF28EE039C175F8773C67485F8BC71412C885A9FB8ACF0A685B57CC28D16E937A277D460EC969C15446825B93AF73DEC2C9D41l2pAX" TargetMode="External"/><Relationship Id="rId11" Type="http://schemas.openxmlformats.org/officeDocument/2006/relationships/hyperlink" Target="consultantplus://offline/ref=EB195CFF28EE039C175F8773C67485F8BC72422A875E9FB8ACF0A685B57CC28D16E937A472D562EEC99900553029B12DE93CF3309F432Bl9pDX" TargetMode="External"/><Relationship Id="rId12" Type="http://schemas.openxmlformats.org/officeDocument/2006/relationships/hyperlink" Target="consultantplus://offline/ref=EB195CFF28EE039C175F997ED018DFF7BE7A1D23885896E7F0AFFDD8E275C8DA51A66EE434D867E7C2CD52116E70E160A231F327834328807AAD74l1pBX" TargetMode="External"/><Relationship Id="rId13" Type="http://schemas.openxmlformats.org/officeDocument/2006/relationships/hyperlink" Target="consultantplus://offline/ref=EB195CFF28EE039C175F997ED018DFF7BE7A1D23885896E7F0AFFDD8E275C8DA51A66EE434D867E7C2CD52116E70E160A231F327834328807AAD74l1pBX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revision>5</cp:revision>
  <dcterms:created xsi:type="dcterms:W3CDTF">2023-01-18T23:49:00Z</dcterms:created>
  <dcterms:modified xsi:type="dcterms:W3CDTF">2023-01-24T06:21:42Z</dcterms:modified>
</cp:coreProperties>
</file>